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F39" w:rsidRPr="005E1579" w:rsidRDefault="00D94F39" w:rsidP="002A24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8"/>
        </w:rPr>
      </w:pPr>
    </w:p>
    <w:p w:rsidR="002A24AF" w:rsidRPr="00104E17" w:rsidRDefault="00302344" w:rsidP="002A24AF">
      <w:pPr>
        <w:autoSpaceDE w:val="0"/>
        <w:autoSpaceDN w:val="0"/>
        <w:adjustRightInd w:val="0"/>
        <w:spacing w:after="0" w:line="240" w:lineRule="auto"/>
        <w:jc w:val="center"/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</w:pPr>
      <w:r w:rsidRPr="00104E17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>Operational Policy</w:t>
      </w:r>
      <w:r w:rsidR="00104E17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 xml:space="preserve"> </w:t>
      </w:r>
      <w:r w:rsidR="00104E17" w:rsidRPr="00104E17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>Instructions</w:t>
      </w:r>
      <w:r w:rsidR="00104E17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 xml:space="preserve"> and Guidelines</w:t>
      </w:r>
    </w:p>
    <w:p w:rsidR="002A24AF" w:rsidRPr="00104E17" w:rsidRDefault="002A24AF" w:rsidP="002A24AF">
      <w:pPr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</w:p>
    <w:p w:rsidR="002A24AF" w:rsidRDefault="002A24AF" w:rsidP="002A24AF">
      <w:p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This </w:t>
      </w:r>
      <w:r w:rsidR="00302344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operational policy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template has been created to use for your state council</w:t>
      </w:r>
      <w:r w:rsidR="00302344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/separately incorporated chapter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. Please customize the </w:t>
      </w:r>
      <w:r w:rsidR="00302344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policy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for your </w:t>
      </w:r>
      <w:proofErr w:type="gramStart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particular needs</w:t>
      </w:r>
      <w:proofErr w:type="gramEnd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p w:rsidR="00104E17" w:rsidRDefault="00C230E3" w:rsidP="00104E17">
      <w:pPr>
        <w:spacing w:after="59"/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</w:pPr>
      <w:r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  <w:t xml:space="preserve">Template </w:t>
      </w:r>
      <w:r w:rsidR="00104E17" w:rsidRPr="00104E17"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</w:rPr>
        <w:t>Instructions</w:t>
      </w:r>
    </w:p>
    <w:p w:rsidR="00FC12FE" w:rsidRDefault="00FC12FE" w:rsidP="00FC12FE">
      <w:pPr>
        <w:spacing w:after="59"/>
        <w:rPr>
          <w:rFonts w:ascii="OptimaLTStd" w:hAnsi="OptimaLTStd" w:cs="OptimaLTStd"/>
          <w:color w:val="7C2B84"/>
          <w:sz w:val="24"/>
          <w:szCs w:val="24"/>
        </w:rPr>
      </w:pPr>
      <w:r w:rsidRPr="00104E17">
        <w:rPr>
          <w:rFonts w:ascii="OptimaLTStd" w:hAnsi="OptimaLTStd" w:cs="OptimaLTStd"/>
          <w:color w:val="7C2B84"/>
          <w:sz w:val="24"/>
          <w:szCs w:val="24"/>
        </w:rPr>
        <w:t xml:space="preserve">Step 1: </w:t>
      </w:r>
      <w:bookmarkStart w:id="0" w:name="_Hlk514075318"/>
      <w:r w:rsidRPr="00B7739D">
        <w:rPr>
          <w:rFonts w:ascii="OptimaLTStd" w:hAnsi="OptimaLTStd" w:cs="OptimaLTStd"/>
          <w:sz w:val="24"/>
          <w:szCs w:val="24"/>
        </w:rPr>
        <w:t>Download and open</w:t>
      </w:r>
      <w:r>
        <w:rPr>
          <w:rFonts w:ascii="OptimaLTStd" w:hAnsi="OptimaLTStd" w:cs="OptimaLTStd"/>
          <w:sz w:val="24"/>
          <w:szCs w:val="24"/>
        </w:rPr>
        <w:t xml:space="preserve"> the</w:t>
      </w:r>
      <w:r w:rsidRPr="00B7739D">
        <w:rPr>
          <w:rFonts w:ascii="OptimaLTStd" w:hAnsi="OptimaLTStd" w:cs="OptimaLTStd"/>
          <w:sz w:val="24"/>
          <w:szCs w:val="24"/>
        </w:rPr>
        <w:t xml:space="preserve"> </w:t>
      </w:r>
      <w:r w:rsidRPr="00FC12FE">
        <w:rPr>
          <w:rFonts w:ascii="OptimaLTStd" w:hAnsi="OptimaLTStd" w:cs="OptimaLTStd"/>
          <w:b/>
          <w:i/>
          <w:sz w:val="24"/>
          <w:szCs w:val="24"/>
        </w:rPr>
        <w:t>Operational Policy Template</w:t>
      </w:r>
      <w:r>
        <w:rPr>
          <w:rFonts w:ascii="OptimaLTStd" w:hAnsi="OptimaLTStd" w:cs="OptimaLTStd"/>
          <w:sz w:val="24"/>
          <w:szCs w:val="24"/>
        </w:rPr>
        <w:t xml:space="preserve"> from the ENA Brand Center</w:t>
      </w:r>
      <w:bookmarkEnd w:id="0"/>
    </w:p>
    <w:p w:rsidR="00FC12FE" w:rsidRDefault="00FC12FE" w:rsidP="00FC12FE">
      <w:pPr>
        <w:spacing w:after="59"/>
        <w:rPr>
          <w:rFonts w:ascii="OptimaLTStd" w:hAnsi="OptimaLTStd" w:cs="OptimaLTStd"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 xml:space="preserve">Step 2: </w:t>
      </w:r>
      <w:r w:rsidRPr="00104E17">
        <w:rPr>
          <w:rFonts w:ascii="OptimaLTStd" w:hAnsi="OptimaLTStd" w:cs="OptimaLTStd"/>
          <w:color w:val="000000"/>
          <w:sz w:val="24"/>
          <w:szCs w:val="24"/>
        </w:rPr>
        <w:t>Replace the ENA logo with your state council or separately incorporated chapter ENA logo</w:t>
      </w:r>
    </w:p>
    <w:p w:rsidR="00FC12FE" w:rsidRPr="00104E17" w:rsidRDefault="00FC12FE" w:rsidP="00FC12FE">
      <w:p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>
        <w:rPr>
          <w:rFonts w:ascii="OptimaLTStd" w:hAnsi="OptimaLTStd" w:cs="OptimaLTStd"/>
          <w:color w:val="7C2B84"/>
          <w:sz w:val="24"/>
          <w:szCs w:val="24"/>
        </w:rPr>
        <w:t>Step 3</w:t>
      </w:r>
      <w:r w:rsidRPr="00104E17">
        <w:rPr>
          <w:rFonts w:ascii="OptimaLTStd" w:hAnsi="OptimaLTStd" w:cs="OptimaLTStd"/>
          <w:color w:val="7C2B84"/>
          <w:sz w:val="24"/>
          <w:szCs w:val="24"/>
        </w:rPr>
        <w:t xml:space="preserve">: 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Text in red font includes instructions on what is included in each section of the policy. Replace and reformat as necessary.</w:t>
      </w:r>
    </w:p>
    <w:p w:rsidR="00104E17" w:rsidRDefault="00104E17" w:rsidP="00104E17">
      <w:pPr>
        <w:spacing w:after="59"/>
        <w:rPr>
          <w:rFonts w:ascii="OptimaLTStd" w:hAnsi="OptimaLTStd" w:cs="OptimaLTStd"/>
          <w:b/>
          <w:color w:val="000000"/>
          <w:sz w:val="24"/>
          <w:szCs w:val="24"/>
        </w:rPr>
      </w:pPr>
      <w:r w:rsidRPr="00104E17">
        <w:rPr>
          <w:rFonts w:ascii="OptimaLTStd" w:hAnsi="OptimaLTStd" w:cs="OptimaLTStd"/>
          <w:b/>
          <w:color w:val="000000"/>
          <w:sz w:val="24"/>
          <w:szCs w:val="24"/>
        </w:rPr>
        <w:t>Guidelines</w:t>
      </w:r>
    </w:p>
    <w:p w:rsidR="00104E17" w:rsidRPr="00104E17" w:rsidRDefault="00093573" w:rsidP="00104E17">
      <w:pPr>
        <w:pStyle w:val="ListParagraph"/>
        <w:numPr>
          <w:ilvl w:val="0"/>
          <w:numId w:val="7"/>
        </w:numPr>
        <w:spacing w:after="59"/>
        <w:rPr>
          <w:rFonts w:ascii="OptimaLTStd" w:hAnsi="OptimaLTStd" w:cs="OptimaLTStd"/>
          <w:b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 policy is a document or statement that communicates a firm management decision regarding “what” is to be done in a given situation.</w:t>
      </w:r>
    </w:p>
    <w:p w:rsidR="00302344" w:rsidRPr="00104E17" w:rsidRDefault="00302344" w:rsidP="00104E17">
      <w:pPr>
        <w:pStyle w:val="ListParagraph"/>
        <w:numPr>
          <w:ilvl w:val="0"/>
          <w:numId w:val="7"/>
        </w:numPr>
        <w:spacing w:after="59"/>
        <w:rPr>
          <w:rFonts w:ascii="OptimaLTStd" w:hAnsi="OptimaLTStd" w:cs="OptimaLTStd"/>
          <w:b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The following list includes policies that all state councils/separately incorporated chapters are </w:t>
      </w:r>
      <w:r w:rsidRPr="00104E17">
        <w:rPr>
          <w:rFonts w:ascii="OptimaLTStd-Bold" w:eastAsia="Times New Roman" w:hAnsi="OptimaLTStd-Bold" w:cs="OptimaLTStd-Bold"/>
          <w:b/>
          <w:bCs/>
          <w:color w:val="000000"/>
          <w:sz w:val="24"/>
          <w:szCs w:val="24"/>
          <w:u w:val="single"/>
        </w:rPr>
        <w:t>required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to adopt, implement and adhere to </w:t>
      </w:r>
      <w:proofErr w:type="gramStart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at all times</w:t>
      </w:r>
      <w:proofErr w:type="gramEnd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per ENA Procedures: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Conflict of Interest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Whistleblower Protection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Antitrust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Record Retention/Destruction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Investment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Reserves Policy</w:t>
      </w:r>
    </w:p>
    <w:p w:rsidR="00302344" w:rsidRPr="00104E17" w:rsidRDefault="00302344" w:rsidP="00302344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Chapter Creation/Dissolution Policy (three tier states only)</w:t>
      </w:r>
    </w:p>
    <w:p w:rsidR="00104E17" w:rsidRPr="00104E17" w:rsidRDefault="00302344" w:rsidP="00104E17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Chapter Probation Policy (three tier states only)</w:t>
      </w:r>
    </w:p>
    <w:p w:rsidR="00104E17" w:rsidRPr="00104E17" w:rsidRDefault="00302344" w:rsidP="00104E17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80" w:line="240" w:lineRule="auto"/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Federal Tax ID Number Use Policy (includes separately incorporated chapters)</w:t>
      </w:r>
    </w:p>
    <w:p w:rsidR="00C31F9E" w:rsidRPr="00104E17" w:rsidRDefault="00C31F9E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State councils and separately incorporated chapters are required to ensure that ENA Component Relations has up-to-date versions of the above policies on file </w:t>
      </w:r>
      <w:proofErr w:type="gramStart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at all times</w:t>
      </w:r>
      <w:proofErr w:type="gramEnd"/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p w:rsidR="00302344" w:rsidRPr="00104E17" w:rsidRDefault="00302344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All policies must be approved by the state council or separately incorporated chapter</w:t>
      </w:r>
    </w:p>
    <w:p w:rsidR="00C31F9E" w:rsidRPr="00104E17" w:rsidRDefault="00C31F9E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It is recommended that your policies are posted on your state council or separately incorporated chapter website</w:t>
      </w:r>
      <w:r w:rsidR="00093573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p w:rsidR="00E01243" w:rsidRPr="00104E17" w:rsidRDefault="00E01243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It is strongly encouraged that all policies have a corresponding operational procedure.</w:t>
      </w:r>
    </w:p>
    <w:p w:rsidR="00071F59" w:rsidRPr="00104E17" w:rsidRDefault="00071F59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It is encouraged to have all policies reviewed on an annual basis; always time stamp the date the policy was created and the date when it was reviewed and revised.</w:t>
      </w:r>
    </w:p>
    <w:p w:rsidR="003C4554" w:rsidRPr="00104E17" w:rsidRDefault="004C5AC5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hyperlink r:id="rId10" w:anchor="governance" w:history="1">
        <w:r w:rsidR="003C4554" w:rsidRPr="00104E17">
          <w:rPr>
            <w:rStyle w:val="Hyperlink"/>
            <w:rFonts w:ascii="OptimaLTStd-Bold" w:eastAsia="Times New Roman" w:hAnsi="OptimaLTStd-Bold" w:cs="OptimaLTStd-Bold"/>
            <w:sz w:val="24"/>
            <w:szCs w:val="24"/>
          </w:rPr>
          <w:t>ENA National policies</w:t>
        </w:r>
      </w:hyperlink>
      <w:r w:rsidR="003C4554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can be reviewed online as a reference. </w:t>
      </w:r>
    </w:p>
    <w:p w:rsidR="00C31F9E" w:rsidRPr="00104E17" w:rsidRDefault="00C31F9E" w:rsidP="00104E17">
      <w:pPr>
        <w:pStyle w:val="ListParagraph"/>
        <w:numPr>
          <w:ilvl w:val="0"/>
          <w:numId w:val="7"/>
        </w:numPr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</w:pP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Contact </w:t>
      </w:r>
      <w:hyperlink r:id="rId11" w:history="1">
        <w:r w:rsidRPr="00104E17">
          <w:rPr>
            <w:rStyle w:val="Hyperlink"/>
            <w:rFonts w:ascii="OptimaLTStd-Bold" w:eastAsia="Times New Roman" w:hAnsi="OptimaLTStd-Bold" w:cs="OptimaLTStd-Bold"/>
            <w:sz w:val="24"/>
            <w:szCs w:val="24"/>
          </w:rPr>
          <w:t>ENA Component Relations</w:t>
        </w:r>
      </w:hyperlink>
      <w:r w:rsidR="00104E17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 xml:space="preserve"> </w:t>
      </w:r>
      <w:r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if you have questions or need further assistance</w:t>
      </w:r>
      <w:r w:rsidR="00093573" w:rsidRPr="00104E17">
        <w:rPr>
          <w:rFonts w:ascii="OptimaLTStd-Bold" w:eastAsia="Times New Roman" w:hAnsi="OptimaLTStd-Bold" w:cs="OptimaLTStd-Bold"/>
          <w:bCs/>
          <w:color w:val="000000"/>
          <w:sz w:val="24"/>
          <w:szCs w:val="24"/>
        </w:rPr>
        <w:t>.</w:t>
      </w:r>
    </w:p>
    <w:sectPr w:rsidR="00C31F9E" w:rsidRPr="00104E17" w:rsidSect="005E15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96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F39" w:rsidRDefault="00D94F39" w:rsidP="00D94F39">
      <w:pPr>
        <w:spacing w:after="0" w:line="240" w:lineRule="auto"/>
      </w:pPr>
      <w:r>
        <w:separator/>
      </w:r>
    </w:p>
  </w:endnote>
  <w:endnote w:type="continuationSeparator" w:id="0">
    <w:p w:rsidR="00D94F39" w:rsidRDefault="00D94F39" w:rsidP="00D9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C5" w:rsidRDefault="004C5A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C5" w:rsidRDefault="004C5A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C5" w:rsidRDefault="004C5A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F39" w:rsidRDefault="00D94F39" w:rsidP="00D94F39">
      <w:pPr>
        <w:spacing w:after="0" w:line="240" w:lineRule="auto"/>
      </w:pPr>
      <w:r>
        <w:separator/>
      </w:r>
    </w:p>
  </w:footnote>
  <w:footnote w:type="continuationSeparator" w:id="0">
    <w:p w:rsidR="00D94F39" w:rsidRDefault="00D94F39" w:rsidP="00D94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C5" w:rsidRDefault="004C5A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F39" w:rsidRDefault="00D94F39">
    <w:pPr>
      <w:pStyle w:val="Header"/>
    </w:pPr>
    <w:bookmarkStart w:id="1" w:name="_GoBack"/>
    <w:r>
      <w:rPr>
        <w:noProof/>
      </w:rPr>
      <w:drawing>
        <wp:inline distT="0" distB="0" distL="0" distR="0" wp14:anchorId="7E5A6373" wp14:editId="6CA63CDE">
          <wp:extent cx="1721026" cy="9969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_ENA_SafePr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026" cy="996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AC5" w:rsidRDefault="004C5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92C4E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Courier" w:hint="default"/>
        <w:sz w:val="20"/>
        <w:szCs w:val="24"/>
      </w:rPr>
    </w:lvl>
  </w:abstractNum>
  <w:abstractNum w:abstractNumId="1" w15:restartNumberingAfterBreak="0">
    <w:nsid w:val="129814AD"/>
    <w:multiLevelType w:val="hybridMultilevel"/>
    <w:tmpl w:val="C986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101E"/>
    <w:multiLevelType w:val="hybridMultilevel"/>
    <w:tmpl w:val="FBEC4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71180F"/>
    <w:multiLevelType w:val="hybridMultilevel"/>
    <w:tmpl w:val="14882DFC"/>
    <w:lvl w:ilvl="0" w:tplc="06543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81937"/>
    <w:multiLevelType w:val="hybridMultilevel"/>
    <w:tmpl w:val="D2B022F4"/>
    <w:lvl w:ilvl="0" w:tplc="441AEF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F7BF2"/>
    <w:multiLevelType w:val="hybridMultilevel"/>
    <w:tmpl w:val="00F05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01165"/>
    <w:multiLevelType w:val="hybridMultilevel"/>
    <w:tmpl w:val="0FE2A402"/>
    <w:lvl w:ilvl="0" w:tplc="134A80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4AF"/>
    <w:rsid w:val="00071F59"/>
    <w:rsid w:val="00093573"/>
    <w:rsid w:val="00104E17"/>
    <w:rsid w:val="002A24AF"/>
    <w:rsid w:val="00302344"/>
    <w:rsid w:val="003C4554"/>
    <w:rsid w:val="004C5AC5"/>
    <w:rsid w:val="005E1579"/>
    <w:rsid w:val="00C230E3"/>
    <w:rsid w:val="00C31F9E"/>
    <w:rsid w:val="00D852A5"/>
    <w:rsid w:val="00D94F39"/>
    <w:rsid w:val="00E01243"/>
    <w:rsid w:val="00EB3D4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30234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CG Times" w:eastAsia="Times New Roman" w:hAnsi="CG Times" w:cs="CG 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4AF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302344"/>
    <w:rPr>
      <w:rFonts w:ascii="CG Times" w:eastAsia="Times New Roman" w:hAnsi="CG Times" w:cs="CG Times"/>
      <w:b/>
      <w:bCs/>
      <w:sz w:val="36"/>
      <w:szCs w:val="36"/>
    </w:rPr>
  </w:style>
  <w:style w:type="character" w:customStyle="1" w:styleId="DeltaViewInsertion">
    <w:name w:val="DeltaView Insertion"/>
    <w:uiPriority w:val="99"/>
    <w:rsid w:val="00302344"/>
    <w:rPr>
      <w:color w:val="0000FF"/>
      <w:u w:val="double"/>
    </w:rPr>
  </w:style>
  <w:style w:type="character" w:styleId="Hyperlink">
    <w:name w:val="Hyperlink"/>
    <w:basedOn w:val="DefaultParagraphFont"/>
    <w:uiPriority w:val="99"/>
    <w:unhideWhenUsed/>
    <w:rsid w:val="00C31F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F39"/>
  </w:style>
  <w:style w:type="paragraph" w:styleId="Footer">
    <w:name w:val="footer"/>
    <w:basedOn w:val="Normal"/>
    <w:link w:val="FooterChar"/>
    <w:uiPriority w:val="99"/>
    <w:unhideWhenUsed/>
    <w:rsid w:val="00D94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F39"/>
  </w:style>
  <w:style w:type="paragraph" w:styleId="BalloonText">
    <w:name w:val="Balloon Text"/>
    <w:basedOn w:val="Normal"/>
    <w:link w:val="BalloonTextChar"/>
    <w:uiPriority w:val="99"/>
    <w:semiHidden/>
    <w:unhideWhenUsed/>
    <w:rsid w:val="00D94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C455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E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onentrelations@ena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na.org/about/leadership-and-governanc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6737-17DF-4D9A-A6CD-D513B0360856}">
  <ds:schemaRefs>
    <ds:schemaRef ds:uri="http://schemas.microsoft.com/sharepoint/v3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87D409-F0BE-440A-9AD0-A2E945F646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3D025-7C4C-463C-8D4D-3F8E41EDC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Zick</dc:creator>
  <cp:lastModifiedBy>Brown, Jessica</cp:lastModifiedBy>
  <cp:revision>2</cp:revision>
  <dcterms:created xsi:type="dcterms:W3CDTF">2018-12-07T16:13:00Z</dcterms:created>
  <dcterms:modified xsi:type="dcterms:W3CDTF">2018-12-07T16:13:00Z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